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A6" w:rsidRPr="007B0DA6" w:rsidRDefault="007B0DA6" w:rsidP="007B0DA6">
      <w:pPr>
        <w:rPr>
          <w:u w:val="single"/>
        </w:rPr>
      </w:pPr>
      <w:r w:rsidRPr="007B0DA6">
        <w:rPr>
          <w:u w:val="single"/>
        </w:rPr>
        <w:t>Stichpun</w:t>
      </w:r>
      <w:r w:rsidR="00304DE6">
        <w:rPr>
          <w:u w:val="single"/>
        </w:rPr>
        <w:t>kte/Kernaussagen Thomas Philipp,</w:t>
      </w:r>
      <w:bookmarkStart w:id="0" w:name="_GoBack"/>
      <w:bookmarkEnd w:id="0"/>
      <w:r w:rsidRPr="007B0DA6">
        <w:rPr>
          <w:u w:val="single"/>
        </w:rPr>
        <w:t xml:space="preserve"> Die Palästinensische Gesellschaft zu Zeiten</w:t>
      </w:r>
      <w:r w:rsidRPr="007B0DA6">
        <w:rPr>
          <w:u w:val="single"/>
        </w:rPr>
        <w:t xml:space="preserve"> </w:t>
      </w:r>
      <w:r w:rsidRPr="007B0DA6">
        <w:rPr>
          <w:u w:val="single"/>
        </w:rPr>
        <w:t>des Britischen Mandats</w:t>
      </w:r>
      <w:r w:rsidR="00304DE6">
        <w:rPr>
          <w:u w:val="single"/>
        </w:rPr>
        <w:t xml:space="preserve">, </w:t>
      </w:r>
      <w:r w:rsidR="00304DE6" w:rsidRPr="00304DE6">
        <w:rPr>
          <w:u w:val="single"/>
        </w:rPr>
        <w:t>http://www.bpb.de/internationales/asien/israel/44991/gesellschaft-palaestinas</w:t>
      </w:r>
    </w:p>
    <w:p w:rsidR="007B0DA6" w:rsidRDefault="007B0DA6" w:rsidP="00CB2DD3">
      <w:pPr>
        <w:pStyle w:val="berschrift1"/>
      </w:pPr>
      <w:r>
        <w:t>Einleitung/Seite l (Gruppe 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0DA6" w:rsidTr="007B0DA6">
        <w:tc>
          <w:tcPr>
            <w:tcW w:w="1812" w:type="dxa"/>
          </w:tcPr>
          <w:p w:rsidR="007B0DA6" w:rsidRPr="001142D1" w:rsidRDefault="007B0DA6" w:rsidP="007B0DA6"/>
        </w:tc>
        <w:tc>
          <w:tcPr>
            <w:tcW w:w="1812" w:type="dxa"/>
          </w:tcPr>
          <w:p w:rsidR="007B0DA6" w:rsidRDefault="007B0DA6" w:rsidP="007B0DA6">
            <w:r>
              <w:t>Palästina</w:t>
            </w:r>
          </w:p>
        </w:tc>
        <w:tc>
          <w:tcPr>
            <w:tcW w:w="1812" w:type="dxa"/>
          </w:tcPr>
          <w:p w:rsidR="007B0DA6" w:rsidRDefault="007B0DA6" w:rsidP="007B0DA6">
            <w:r>
              <w:t>Israel</w:t>
            </w:r>
          </w:p>
        </w:tc>
        <w:tc>
          <w:tcPr>
            <w:tcW w:w="1813" w:type="dxa"/>
          </w:tcPr>
          <w:p w:rsidR="007B0DA6" w:rsidRDefault="007B0DA6" w:rsidP="007B0DA6">
            <w:r>
              <w:t>gesamt</w:t>
            </w:r>
          </w:p>
        </w:tc>
        <w:tc>
          <w:tcPr>
            <w:tcW w:w="1813" w:type="dxa"/>
          </w:tcPr>
          <w:p w:rsidR="007B0DA6" w:rsidRDefault="007B0DA6" w:rsidP="007B0DA6">
            <w:r>
              <w:t>% Israel ges.</w:t>
            </w:r>
          </w:p>
        </w:tc>
      </w:tr>
      <w:tr w:rsidR="007B0DA6" w:rsidTr="007B0DA6">
        <w:tc>
          <w:tcPr>
            <w:tcW w:w="1812" w:type="dxa"/>
          </w:tcPr>
          <w:p w:rsidR="007B0DA6" w:rsidRPr="001142D1" w:rsidRDefault="007B0DA6" w:rsidP="007B0DA6">
            <w:r w:rsidRPr="001142D1">
              <w:t>1918</w:t>
            </w:r>
          </w:p>
        </w:tc>
        <w:tc>
          <w:tcPr>
            <w:tcW w:w="1812" w:type="dxa"/>
          </w:tcPr>
          <w:p w:rsidR="007B0DA6" w:rsidRPr="002523E0" w:rsidRDefault="007B0DA6" w:rsidP="007B0DA6">
            <w:r w:rsidRPr="002523E0">
              <w:t>573.000,0</w:t>
            </w:r>
          </w:p>
        </w:tc>
        <w:tc>
          <w:tcPr>
            <w:tcW w:w="1812" w:type="dxa"/>
          </w:tcPr>
          <w:p w:rsidR="007B0DA6" w:rsidRPr="005C31CC" w:rsidRDefault="007B0DA6" w:rsidP="007B0DA6">
            <w:r w:rsidRPr="005C31CC">
              <w:t>66.000,0</w:t>
            </w:r>
          </w:p>
        </w:tc>
        <w:tc>
          <w:tcPr>
            <w:tcW w:w="1813" w:type="dxa"/>
          </w:tcPr>
          <w:p w:rsidR="007B0DA6" w:rsidRPr="00CC0830" w:rsidRDefault="007B0DA6" w:rsidP="007B0DA6">
            <w:r w:rsidRPr="00CC0830">
              <w:t>639.000,0</w:t>
            </w:r>
          </w:p>
        </w:tc>
        <w:tc>
          <w:tcPr>
            <w:tcW w:w="1813" w:type="dxa"/>
          </w:tcPr>
          <w:p w:rsidR="007B0DA6" w:rsidRPr="00F30B4B" w:rsidRDefault="007B0DA6" w:rsidP="007B0DA6">
            <w:r w:rsidRPr="00F30B4B">
              <w:t>10,3%</w:t>
            </w:r>
          </w:p>
        </w:tc>
      </w:tr>
      <w:tr w:rsidR="007B0DA6" w:rsidTr="007B0DA6">
        <w:tc>
          <w:tcPr>
            <w:tcW w:w="1812" w:type="dxa"/>
          </w:tcPr>
          <w:p w:rsidR="007B0DA6" w:rsidRPr="001142D1" w:rsidRDefault="007B0DA6" w:rsidP="007B0DA6">
            <w:r w:rsidRPr="001142D1">
              <w:t>1936</w:t>
            </w:r>
          </w:p>
        </w:tc>
        <w:tc>
          <w:tcPr>
            <w:tcW w:w="1812" w:type="dxa"/>
          </w:tcPr>
          <w:p w:rsidR="007B0DA6" w:rsidRPr="002523E0" w:rsidRDefault="007B0DA6" w:rsidP="007B0DA6">
            <w:r w:rsidRPr="002523E0">
              <w:t>955.000,0</w:t>
            </w:r>
          </w:p>
        </w:tc>
        <w:tc>
          <w:tcPr>
            <w:tcW w:w="1812" w:type="dxa"/>
          </w:tcPr>
          <w:p w:rsidR="007B0DA6" w:rsidRPr="005C31CC" w:rsidRDefault="007B0DA6" w:rsidP="007B0DA6">
            <w:r w:rsidRPr="005C31CC">
              <w:t>370.000,0</w:t>
            </w:r>
          </w:p>
        </w:tc>
        <w:tc>
          <w:tcPr>
            <w:tcW w:w="1813" w:type="dxa"/>
          </w:tcPr>
          <w:p w:rsidR="007B0DA6" w:rsidRPr="00CC0830" w:rsidRDefault="007B0DA6" w:rsidP="007B0DA6">
            <w:r w:rsidRPr="00CC0830">
              <w:t>1.325.000,0</w:t>
            </w:r>
          </w:p>
        </w:tc>
        <w:tc>
          <w:tcPr>
            <w:tcW w:w="1813" w:type="dxa"/>
          </w:tcPr>
          <w:p w:rsidR="007B0DA6" w:rsidRPr="00F30B4B" w:rsidRDefault="007B0DA6" w:rsidP="007B0DA6">
            <w:r w:rsidRPr="00F30B4B">
              <w:t>27,9%</w:t>
            </w:r>
          </w:p>
        </w:tc>
      </w:tr>
      <w:tr w:rsidR="007B0DA6" w:rsidTr="007B0DA6">
        <w:tc>
          <w:tcPr>
            <w:tcW w:w="1812" w:type="dxa"/>
          </w:tcPr>
          <w:p w:rsidR="007B0DA6" w:rsidRPr="001142D1" w:rsidRDefault="007B0DA6" w:rsidP="007B0DA6">
            <w:r w:rsidRPr="001142D1">
              <w:t>1948</w:t>
            </w:r>
          </w:p>
        </w:tc>
        <w:tc>
          <w:tcPr>
            <w:tcW w:w="1812" w:type="dxa"/>
          </w:tcPr>
          <w:p w:rsidR="007B0DA6" w:rsidRPr="002523E0" w:rsidRDefault="007B0DA6" w:rsidP="007B0DA6">
            <w:r w:rsidRPr="002523E0">
              <w:t>1.200.000,0</w:t>
            </w:r>
          </w:p>
        </w:tc>
        <w:tc>
          <w:tcPr>
            <w:tcW w:w="1812" w:type="dxa"/>
          </w:tcPr>
          <w:p w:rsidR="007B0DA6" w:rsidRPr="005C31CC" w:rsidRDefault="007B0DA6" w:rsidP="007B0DA6">
            <w:r w:rsidRPr="005C31CC">
              <w:t>600.000,0</w:t>
            </w:r>
          </w:p>
        </w:tc>
        <w:tc>
          <w:tcPr>
            <w:tcW w:w="1813" w:type="dxa"/>
          </w:tcPr>
          <w:p w:rsidR="007B0DA6" w:rsidRPr="00CC0830" w:rsidRDefault="007B0DA6" w:rsidP="007B0DA6">
            <w:r w:rsidRPr="00CC0830">
              <w:t>1.800.000,0</w:t>
            </w:r>
          </w:p>
        </w:tc>
        <w:tc>
          <w:tcPr>
            <w:tcW w:w="1813" w:type="dxa"/>
          </w:tcPr>
          <w:p w:rsidR="007B0DA6" w:rsidRPr="00F30B4B" w:rsidRDefault="007B0DA6" w:rsidP="007B0DA6">
            <w:r w:rsidRPr="00F30B4B">
              <w:t>33,3%</w:t>
            </w:r>
          </w:p>
        </w:tc>
      </w:tr>
    </w:tbl>
    <w:p w:rsidR="007B0DA6" w:rsidRDefault="007B0DA6" w:rsidP="007B0DA6">
      <w:r>
        <w:t>Tabelle: Bevölkerungsverteilung Palästinenser - Israelis 1918 - 48</w:t>
      </w:r>
    </w:p>
    <w:p w:rsidR="007B0DA6" w:rsidRDefault="007B0DA6" w:rsidP="007B0DA6">
      <w:pPr>
        <w:pStyle w:val="Listenabsatz"/>
        <w:numPr>
          <w:ilvl w:val="0"/>
          <w:numId w:val="1"/>
        </w:numPr>
      </w:pPr>
      <w:r>
        <w:t>„Am Ende des Mandats und nach dem ersten arabisch-israelischen Krieg wurden 78% des</w:t>
      </w:r>
      <w:r>
        <w:t xml:space="preserve"> </w:t>
      </w:r>
      <w:r>
        <w:t>britischen Mandatsgebiets der neue Staat Israel"</w:t>
      </w:r>
    </w:p>
    <w:p w:rsidR="007B0DA6" w:rsidRDefault="007B0DA6" w:rsidP="007B0DA6">
      <w:pPr>
        <w:pStyle w:val="Listenabsatz"/>
        <w:numPr>
          <w:ilvl w:val="0"/>
          <w:numId w:val="1"/>
        </w:numPr>
      </w:pPr>
      <w:r>
        <w:t>Palästina britische Schöpfung mit „künstlichen Grenzen". Auffällig: Logo der Hamas</w:t>
      </w:r>
      <w:r>
        <w:t xml:space="preserve"> </w:t>
      </w:r>
      <w:r>
        <w:t>verwendet das Palästina des britischen Mandatsgebiets als Grenzen (Frage an alle: mit</w:t>
      </w:r>
      <w:r>
        <w:t xml:space="preserve"> </w:t>
      </w:r>
      <w:r>
        <w:t>welcher Absicht?)</w:t>
      </w:r>
    </w:p>
    <w:p w:rsidR="007B0DA6" w:rsidRDefault="007B0DA6" w:rsidP="00CB2DD3">
      <w:pPr>
        <w:pStyle w:val="berschrift1"/>
      </w:pPr>
      <w:r>
        <w:t>Das britische Mandat (Gruppe 2)</w:t>
      </w:r>
    </w:p>
    <w:p w:rsidR="007B0DA6" w:rsidRDefault="007B0DA6" w:rsidP="007B0DA6">
      <w:pPr>
        <w:pStyle w:val="Listenabsatz"/>
        <w:numPr>
          <w:ilvl w:val="0"/>
          <w:numId w:val="2"/>
        </w:numPr>
      </w:pPr>
      <w:r>
        <w:t>Mandat postuliert Entwicklung zu politischer Reife mit dem Ziel der Selbstverwaltung (für</w:t>
      </w:r>
      <w:r>
        <w:t xml:space="preserve"> </w:t>
      </w:r>
      <w:r>
        <w:t>Israelis und Palästinenser). Erst dann Unabhängigkeit</w:t>
      </w:r>
      <w:r>
        <w:t xml:space="preserve"> </w:t>
      </w:r>
    </w:p>
    <w:p w:rsidR="007B0DA6" w:rsidRDefault="007B0DA6" w:rsidP="007B0DA6">
      <w:pPr>
        <w:pStyle w:val="Listenabsatz"/>
        <w:numPr>
          <w:ilvl w:val="0"/>
          <w:numId w:val="2"/>
        </w:numPr>
      </w:pPr>
      <w:r>
        <w:t>Balfour-Deklaration (1917): „nationalen Heimstätte für das jüdische Volk in Palästina" ohne</w:t>
      </w:r>
      <w:r>
        <w:t xml:space="preserve"> </w:t>
      </w:r>
      <w:r>
        <w:t>dass "[etwas] unternommen werden sollte, das die zivilen und religiösen Rechte von</w:t>
      </w:r>
      <w:r>
        <w:t xml:space="preserve"> </w:t>
      </w:r>
      <w:r>
        <w:t>existierenden nicht-jüdischen Gemeinschaften beeinträchtigt" -&gt; enge Zusammenarbeit</w:t>
      </w:r>
      <w:r>
        <w:t xml:space="preserve"> </w:t>
      </w:r>
      <w:r>
        <w:t xml:space="preserve">zwischen Briten und </w:t>
      </w:r>
      <w:proofErr w:type="spellStart"/>
      <w:r>
        <w:t>Jischuv</w:t>
      </w:r>
      <w:proofErr w:type="spellEnd"/>
      <w:r>
        <w:t>, Araber außen vor. Eigentliches Ziel: Land- und</w:t>
      </w:r>
      <w:r>
        <w:t xml:space="preserve"> </w:t>
      </w:r>
      <w:r>
        <w:t xml:space="preserve">Wasserverbindungen (Suez) zwischen Mittelmeer und Indischem Ozean - "imperial </w:t>
      </w:r>
      <w:proofErr w:type="spellStart"/>
      <w:r>
        <w:t>highway</w:t>
      </w:r>
      <w:proofErr w:type="spellEnd"/>
      <w:r>
        <w:t>"</w:t>
      </w:r>
      <w:r>
        <w:t xml:space="preserve"> </w:t>
      </w:r>
      <w:r>
        <w:t>nach Indien kostengünstig zu erhalten. Das ging leichter mit de</w:t>
      </w:r>
      <w:r>
        <w:t>n Israelis als mit den Arabern.</w:t>
      </w:r>
    </w:p>
    <w:p w:rsidR="007B0DA6" w:rsidRDefault="007B0DA6" w:rsidP="007B0DA6">
      <w:pPr>
        <w:pStyle w:val="Listenabsatz"/>
        <w:numPr>
          <w:ilvl w:val="0"/>
          <w:numId w:val="2"/>
        </w:numPr>
      </w:pPr>
      <w:r>
        <w:t>Ggf. auch Unterstützung der arabischen Seite.</w:t>
      </w:r>
    </w:p>
    <w:p w:rsidR="007B0DA6" w:rsidRDefault="007B0DA6" w:rsidP="007B0DA6">
      <w:pPr>
        <w:pStyle w:val="Listenabsatz"/>
        <w:numPr>
          <w:ilvl w:val="0"/>
          <w:numId w:val="2"/>
        </w:numPr>
      </w:pPr>
      <w:r>
        <w:t>1937 Peel-</w:t>
      </w:r>
      <w:proofErr w:type="spellStart"/>
      <w:r>
        <w:t>Commission</w:t>
      </w:r>
      <w:proofErr w:type="spellEnd"/>
      <w:r>
        <w:t xml:space="preserve"> - 2-Staatenlösung, zionistischer Weltkongress nimmt an, Araber</w:t>
      </w:r>
      <w:r>
        <w:t xml:space="preserve"> </w:t>
      </w:r>
      <w:r>
        <w:t>lehnen ab; 1939 White Paper: Begrenzung israelischer Zuwanderung auf 75.000 in 5 Jahren!!</w:t>
      </w:r>
      <w:r>
        <w:t xml:space="preserve"> </w:t>
      </w:r>
      <w:r>
        <w:t xml:space="preserve">(370.000 + 75.000 </w:t>
      </w:r>
      <w:proofErr w:type="spellStart"/>
      <w:r>
        <w:t>vs</w:t>
      </w:r>
      <w:proofErr w:type="spellEnd"/>
      <w:r>
        <w:t xml:space="preserve"> 600.000 in 1948,s. oben)</w:t>
      </w:r>
    </w:p>
    <w:p w:rsidR="007B0DA6" w:rsidRDefault="007B0DA6" w:rsidP="00CB2DD3">
      <w:pPr>
        <w:pStyle w:val="berschrift1"/>
      </w:pPr>
      <w:r>
        <w:t>Die arabische Bevölkerung unter dem britischen Mandat</w:t>
      </w:r>
      <w:r>
        <w:t xml:space="preserve"> </w:t>
      </w:r>
      <w:r>
        <w:t>(Gruppe 3)</w:t>
      </w:r>
    </w:p>
    <w:p w:rsidR="007B0DA6" w:rsidRDefault="007B0DA6" w:rsidP="0095761C">
      <w:pPr>
        <w:pStyle w:val="Listenabsatz"/>
        <w:numPr>
          <w:ilvl w:val="0"/>
          <w:numId w:val="3"/>
        </w:numPr>
      </w:pPr>
      <w:r>
        <w:t>Araber traditionell (=im osmanischen Reich) an verschiedenen Herrschaften und</w:t>
      </w:r>
      <w:r>
        <w:t xml:space="preserve"> </w:t>
      </w:r>
      <w:r>
        <w:t>Verwaltungen ausgerichtet -^ neuer arabischer Nationalismus Neuland, viele</w:t>
      </w:r>
      <w:r>
        <w:t xml:space="preserve"> </w:t>
      </w:r>
      <w:r>
        <w:t xml:space="preserve">widerstreitende Einflüsse (Jerusalem </w:t>
      </w:r>
      <w:proofErr w:type="spellStart"/>
      <w:r>
        <w:t>vs</w:t>
      </w:r>
      <w:proofErr w:type="spellEnd"/>
      <w:r>
        <w:t xml:space="preserve"> Damaskus). Politischer Islam entsteht. Insg.</w:t>
      </w:r>
      <w:r>
        <w:t xml:space="preserve"> </w:t>
      </w:r>
      <w:r>
        <w:t xml:space="preserve">ideologische Zerrissenheit </w:t>
      </w:r>
      <w:proofErr w:type="spellStart"/>
      <w:r>
        <w:t>vs</w:t>
      </w:r>
      <w:proofErr w:type="spellEnd"/>
      <w:r>
        <w:t xml:space="preserve"> </w:t>
      </w:r>
      <w:proofErr w:type="spellStart"/>
      <w:r>
        <w:t>ideol</w:t>
      </w:r>
      <w:proofErr w:type="spellEnd"/>
      <w:r>
        <w:t xml:space="preserve">. Homogenität des </w:t>
      </w:r>
      <w:proofErr w:type="spellStart"/>
      <w:r>
        <w:t>Jischuv</w:t>
      </w:r>
      <w:proofErr w:type="spellEnd"/>
      <w:r>
        <w:t>.</w:t>
      </w:r>
    </w:p>
    <w:p w:rsidR="007B0DA6" w:rsidRDefault="007B0DA6" w:rsidP="0095761C">
      <w:pPr>
        <w:pStyle w:val="Listenabsatz"/>
        <w:numPr>
          <w:ilvl w:val="0"/>
          <w:numId w:val="3"/>
        </w:numPr>
      </w:pPr>
      <w:r>
        <w:t>Institutionen / Administration / Verwaltung / Bürokratie (rationale Herrschaft, Max Weber):</w:t>
      </w:r>
      <w:r>
        <w:t xml:space="preserve"> </w:t>
      </w:r>
      <w:r>
        <w:t xml:space="preserve">Israelis lernen von den Briten, Araber lehnen </w:t>
      </w:r>
      <w:proofErr w:type="spellStart"/>
      <w:r>
        <w:t>diesbezgl</w:t>
      </w:r>
      <w:proofErr w:type="spellEnd"/>
      <w:r>
        <w:t>. jede Kooperation mit den Briten ab</w:t>
      </w:r>
      <w:r>
        <w:t xml:space="preserve"> (Frage an alle: Warum?) </w:t>
      </w:r>
      <w:r>
        <w:sym w:font="Wingdings" w:char="F0E0"/>
      </w:r>
      <w:r>
        <w:t xml:space="preserve"> </w:t>
      </w:r>
      <w:r>
        <w:t>staatlich-bürokratische Herrschaftsorganisation entwickelt sich</w:t>
      </w:r>
      <w:r>
        <w:t xml:space="preserve"> </w:t>
      </w:r>
      <w:r>
        <w:t>bei den Israelis, bei den Arabern nicht. (Warum verlieren die Araber den</w:t>
      </w:r>
      <w:r>
        <w:t xml:space="preserve"> </w:t>
      </w:r>
      <w:r>
        <w:t>Unabhängigkeitskrieg 1948?)</w:t>
      </w:r>
    </w:p>
    <w:p w:rsidR="007B0DA6" w:rsidRDefault="007B0DA6" w:rsidP="00CB2DD3">
      <w:pPr>
        <w:pStyle w:val="berschrift1"/>
      </w:pPr>
      <w:r>
        <w:t>Gesellschaftliche und wirtschaftliche Lage der arabischen</w:t>
      </w:r>
      <w:r>
        <w:t xml:space="preserve"> </w:t>
      </w:r>
      <w:r>
        <w:t>Bevölkerung (Gruppe 4)</w:t>
      </w:r>
    </w:p>
    <w:p w:rsidR="007B0DA6" w:rsidRDefault="007B0DA6" w:rsidP="0095761C">
      <w:pPr>
        <w:pStyle w:val="Listenabsatz"/>
        <w:numPr>
          <w:ilvl w:val="0"/>
          <w:numId w:val="4"/>
        </w:numPr>
      </w:pPr>
      <w:r>
        <w:t xml:space="preserve">Wirtsch. Entwicklung zunächst vorteilhaft: </w:t>
      </w:r>
      <w:proofErr w:type="spellStart"/>
      <w:r>
        <w:t>pal</w:t>
      </w:r>
      <w:proofErr w:type="spellEnd"/>
      <w:r>
        <w:t>. Bauern produzieren für den Weltmarkt (Seide,</w:t>
      </w:r>
      <w:r>
        <w:t xml:space="preserve"> </w:t>
      </w:r>
      <w:r>
        <w:t>Baumwolle, Tabak, Apfelsinen und Getreide). Landflucht beeinträchtigt. Palästinenser stark</w:t>
      </w:r>
      <w:r>
        <w:t xml:space="preserve"> </w:t>
      </w:r>
      <w:r>
        <w:t xml:space="preserve">agrarisch verwurzelt, </w:t>
      </w:r>
      <w:proofErr w:type="spellStart"/>
      <w:r>
        <w:t>Jischuv</w:t>
      </w:r>
      <w:proofErr w:type="spellEnd"/>
      <w:r>
        <w:t xml:space="preserve"> zu % urban</w:t>
      </w:r>
    </w:p>
    <w:p w:rsidR="007B0DA6" w:rsidRDefault="007B0DA6" w:rsidP="0095761C">
      <w:pPr>
        <w:pStyle w:val="Listenabsatz"/>
        <w:numPr>
          <w:ilvl w:val="0"/>
          <w:numId w:val="4"/>
        </w:numPr>
      </w:pPr>
      <w:r>
        <w:t>An die Stelle der Schriftgelehrten treten (gebildete) palästinensische Nationalisten als neue</w:t>
      </w:r>
      <w:r>
        <w:t xml:space="preserve"> </w:t>
      </w:r>
      <w:r>
        <w:t>Elite. Verweigerung des Nationalstaates durch die Briten in Versailles bewirkt</w:t>
      </w:r>
      <w:r>
        <w:t xml:space="preserve"> </w:t>
      </w:r>
      <w:r>
        <w:t>Radikalisierung.</w:t>
      </w:r>
    </w:p>
    <w:p w:rsidR="007B0DA6" w:rsidRDefault="007B0DA6" w:rsidP="0095761C">
      <w:pPr>
        <w:pStyle w:val="Listenabsatz"/>
        <w:numPr>
          <w:ilvl w:val="0"/>
          <w:numId w:val="4"/>
        </w:numPr>
      </w:pPr>
      <w:r>
        <w:lastRenderedPageBreak/>
        <w:t>Briten fördern unpolitische, traditionelle, religiöse Institutionen bei den Arabern oder</w:t>
      </w:r>
      <w:r>
        <w:t xml:space="preserve"> </w:t>
      </w:r>
      <w:r>
        <w:t>erfinden sie so</w:t>
      </w:r>
      <w:r>
        <w:t xml:space="preserve">gar (Großmufti von Palästina) </w:t>
      </w:r>
      <w:r>
        <w:sym w:font="Wingdings" w:char="F0E0"/>
      </w:r>
      <w:r>
        <w:t xml:space="preserve"> demokratische Strukturen, Parlamente,</w:t>
      </w:r>
      <w:r>
        <w:t xml:space="preserve"> </w:t>
      </w:r>
      <w:r>
        <w:t>Wahlen, kurz: alle Elemente moderner Nationalstaatlichkeit fehlten in Palästina.</w:t>
      </w:r>
    </w:p>
    <w:p w:rsidR="007B0DA6" w:rsidRDefault="007B0DA6" w:rsidP="007B0DA6">
      <w:r w:rsidRPr="0095761C">
        <w:rPr>
          <w:u w:val="single"/>
        </w:rPr>
        <w:t>Fazit</w:t>
      </w:r>
      <w:r>
        <w:t>: aus Sicht der Araber fehlende Legitimität des Mandats (-&gt; Beibehaltung vormoderner</w:t>
      </w:r>
      <w:r>
        <w:t xml:space="preserve"> </w:t>
      </w:r>
      <w:r>
        <w:t xml:space="preserve">Strukturen), hohe ideologische Heterogenität (im </w:t>
      </w:r>
      <w:proofErr w:type="spellStart"/>
      <w:r>
        <w:t>Ggs</w:t>
      </w:r>
      <w:proofErr w:type="spellEnd"/>
      <w:r>
        <w:t xml:space="preserve"> zu </w:t>
      </w:r>
      <w:proofErr w:type="spellStart"/>
      <w:r>
        <w:t>Jischuv</w:t>
      </w:r>
      <w:proofErr w:type="spellEnd"/>
      <w:r>
        <w:t>), Zerfall alter Eliten ohne adäquaten</w:t>
      </w:r>
      <w:r w:rsidR="0095761C">
        <w:t xml:space="preserve"> </w:t>
      </w:r>
      <w:r>
        <w:t>Ersatz, Radikalisierung der arabischen Nationalisten.</w:t>
      </w:r>
    </w:p>
    <w:p w:rsidR="0020010D" w:rsidRDefault="00CB2DD3" w:rsidP="007B0DA6">
      <w:r>
        <w:rPr>
          <w:noProof/>
        </w:rPr>
        <w:drawing>
          <wp:inline distT="0" distB="0" distL="0" distR="0">
            <wp:extent cx="5638800" cy="7711179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ilung-p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879" cy="771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D3"/>
    <w:multiLevelType w:val="hybridMultilevel"/>
    <w:tmpl w:val="67FE15D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8F6"/>
    <w:multiLevelType w:val="hybridMultilevel"/>
    <w:tmpl w:val="5B764CE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75839"/>
    <w:multiLevelType w:val="hybridMultilevel"/>
    <w:tmpl w:val="AF4ECD42"/>
    <w:lvl w:ilvl="0" w:tplc="54F80D60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79B6"/>
    <w:multiLevelType w:val="hybridMultilevel"/>
    <w:tmpl w:val="36A8594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315CD"/>
    <w:multiLevelType w:val="hybridMultilevel"/>
    <w:tmpl w:val="10C262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A6"/>
    <w:rsid w:val="00304DE6"/>
    <w:rsid w:val="007B0DA6"/>
    <w:rsid w:val="0095761C"/>
    <w:rsid w:val="00C824E8"/>
    <w:rsid w:val="00CB2DD3"/>
    <w:rsid w:val="00D8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49D7-D789-4C2B-B383-E95CE649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2DD3"/>
    <w:pPr>
      <w:keepNext/>
      <w:keepLines/>
      <w:numPr>
        <w:numId w:val="5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B0DA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B2DD3"/>
    <w:rPr>
      <w:rFonts w:asciiTheme="majorHAnsi" w:eastAsiaTheme="majorEastAsia" w:hAnsiTheme="majorHAns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Dettmar, Gebhard</dc:creator>
  <cp:keywords/>
  <dc:description/>
  <cp:lastModifiedBy>Dettmar, Gebhard</cp:lastModifiedBy>
  <cp:revision>2</cp:revision>
  <dcterms:created xsi:type="dcterms:W3CDTF">2019-10-22T14:58:00Z</dcterms:created>
  <dcterms:modified xsi:type="dcterms:W3CDTF">2019-10-22T15:19:00Z</dcterms:modified>
</cp:coreProperties>
</file>